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AD5475" w:rsidRDefault="00AD5475" w:rsidP="00AD5475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AD5475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1- 4 классы</w:t>
      </w:r>
    </w:p>
    <w:p w:rsidR="00AD5475" w:rsidRPr="00AD5475" w:rsidRDefault="00AD5475" w:rsidP="00AD5475">
      <w:pPr>
        <w:spacing w:before="100" w:beforeAutospacing="1" w:after="100" w:afterAutospacing="1" w:line="624" w:lineRule="atLeast"/>
        <w:jc w:val="center"/>
        <w:outlineLvl w:val="2"/>
        <w:rPr>
          <w:rFonts w:ascii="inherit" w:eastAsia="Times New Roman" w:hAnsi="inherit" w:cs="Arial"/>
          <w:b/>
          <w:bCs/>
          <w:caps/>
          <w:color w:val="01314B"/>
          <w:spacing w:val="24"/>
          <w:sz w:val="15"/>
          <w:szCs w:val="15"/>
          <w:lang w:eastAsia="ru-RU"/>
        </w:rPr>
      </w:pPr>
      <w:r w:rsidRPr="00AD5475">
        <w:rPr>
          <w:rFonts w:ascii="inherit" w:eastAsia="Times New Roman" w:hAnsi="inherit" w:cs="Arial"/>
          <w:b/>
          <w:bCs/>
          <w:caps/>
          <w:color w:val="333399"/>
          <w:spacing w:val="24"/>
          <w:sz w:val="24"/>
          <w:szCs w:val="24"/>
          <w:bdr w:val="none" w:sz="0" w:space="0" w:color="auto" w:frame="1"/>
          <w:lang w:eastAsia="ru-RU"/>
        </w:rPr>
        <w:t>ПРОГРАММА «ШКОЛА РОССИИ» (1-4 КЛАССЫ)</w:t>
      </w:r>
    </w:p>
    <w:tbl>
      <w:tblPr>
        <w:tblW w:w="9884" w:type="dxa"/>
        <w:tblCellSpacing w:w="15" w:type="dxa"/>
        <w:tblInd w:w="187" w:type="dxa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1"/>
        <w:gridCol w:w="7723"/>
      </w:tblGrid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39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390650"/>
                  <wp:effectExtent l="0" t="0" r="9525" b="0"/>
                  <wp:docPr id="70" name="Рисунок 70" descr="Русский язык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Русский язык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6" w:tooltip="Русский язык — аннотация к рабочим программам УМК 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Русский язык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В.П., Горецкий В.Г.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Русский язык.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95375" cy="1409700"/>
                  <wp:effectExtent l="0" t="0" r="9525" b="0"/>
                  <wp:docPr id="69" name="Рисунок 69" descr="Литер. чтение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Литер. чтение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9" w:tooltip="Литературное чтение — аннотация к рабочим программам УМК 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Литературное чтение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Климанова Л. Ф., Горецкий В.Г., Голованова М.В. и др.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Литературное чтение. Учебник. 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F40D41" w:rsidP="00F40D4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200150"/>
                  <wp:effectExtent l="19050" t="0" r="9525" b="0"/>
                  <wp:docPr id="2" name="Рисунок 1" descr="ÐÑÐ·Ð¾Ð²Ð»ÐµÐ². ÐÐ½Ð³Ð»Ð¸Ð¹ÑÐºÐ¸Ð¹ ÑÐ·ÑÐº. 2 ÐºÐ». Ð£ÑÐµÐ±Ð½Ð¸Ðº. Ð 5-Ð¸ Ñ. Ð§.5 (IV Ð²Ð¸Ð´) (Ð¤ÐÐÐ¡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ÑÐ·Ð¾Ð²Ð»ÐµÐ². ÐÐ½Ð³Ð»Ð¸Ð¹ÑÐºÐ¸Ð¹ ÑÐ·ÑÐº. 2 ÐºÐ». Ð£ÑÐµÐ±Ð½Ð¸Ðº. Ð 5-Ð¸ Ñ. Ð§.5 (IV Ð²Ð¸Ð´) (Ð¤ÐÐÐ¡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475"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1" w:tooltip="Английский язык — аннотация к рабочим программам 1- 4 класс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Английский язык — аннотация к рабочим программам</w:t>
              </w:r>
            </w:hyperlink>
          </w:p>
          <w:p w:rsidR="00AD5475" w:rsidRPr="0016318C" w:rsidRDefault="0016318C" w:rsidP="0016318C">
            <w:pPr>
              <w:spacing w:before="210" w:after="18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36"/>
                <w:lang w:eastAsia="ru-RU"/>
              </w:rPr>
            </w:pPr>
            <w:proofErr w:type="spellStart"/>
            <w:r w:rsidRPr="0016318C">
              <w:rPr>
                <w:rFonts w:ascii="Georgia" w:eastAsia="Times New Roman" w:hAnsi="Georgia" w:cs="Times New Roman"/>
                <w:bCs/>
                <w:iCs/>
                <w:kern w:val="36"/>
                <w:lang w:eastAsia="ru-RU"/>
              </w:rPr>
              <w:t>Кузовлев</w:t>
            </w:r>
            <w:proofErr w:type="spellEnd"/>
            <w:r w:rsidRPr="0016318C">
              <w:rPr>
                <w:rFonts w:ascii="Georgia" w:eastAsia="Times New Roman" w:hAnsi="Georgia" w:cs="Times New Roman"/>
                <w:bCs/>
                <w:iCs/>
                <w:kern w:val="36"/>
                <w:lang w:eastAsia="ru-RU"/>
              </w:rPr>
              <w:t xml:space="preserve"> В.П., Лапа Н.М., Костина И.П., Кузнецова Е.В.</w:t>
            </w:r>
            <w:r w:rsidR="00AD5475" w:rsidRPr="0016318C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AD5475"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</w:t>
            </w:r>
            <w:r w:rsidR="00AD5475"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AD5475"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Английский язык. Учебник.</w:t>
            </w:r>
            <w:r w:rsidR="00AD5475"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="00AD5475"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66800" cy="1400175"/>
                  <wp:effectExtent l="0" t="0" r="0" b="9525"/>
                  <wp:docPr id="67" name="Рисунок 67" descr="Математик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Математик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4" w:tooltip="Математика — аннотация к рабочим программам УМК 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Математика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Моро М.И., </w:t>
            </w:r>
            <w:proofErr w:type="spellStart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Бантова</w:t>
            </w:r>
            <w:proofErr w:type="spellEnd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М.А., </w:t>
            </w:r>
            <w:proofErr w:type="spellStart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Бельтюкова</w:t>
            </w:r>
            <w:proofErr w:type="spellEnd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Г.В. и др.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Математика.  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390650"/>
                  <wp:effectExtent l="0" t="0" r="9525" b="0"/>
                  <wp:docPr id="66" name="Рисунок 66" descr="Окр. мир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Окр. мир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7" w:tooltip="Окружающий мир — аннотация к рабочим программам УМК 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Окружающий мир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Плешаков А.А.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Окружающий мир.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62025" cy="1409700"/>
                  <wp:effectExtent l="0" t="0" r="9525" b="0"/>
                  <wp:docPr id="65" name="Рисунок 65" descr="ИЗО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ИЗО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0" w:tooltip="Изобразительное искусство — аннотация к рабочим программам УМК 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Изобразительное искусство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Л.А. / Под ред. </w:t>
            </w:r>
            <w:proofErr w:type="spellStart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Неменского</w:t>
            </w:r>
            <w:proofErr w:type="spellEnd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Б.М.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Изобразительное искусство.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409700"/>
                  <wp:effectExtent l="0" t="0" r="9525" b="0"/>
                  <wp:docPr id="64" name="Рисунок 64" descr="Музыка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Музыка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3" w:tooltip="Музыка — аннотация к рабочим программам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Музыка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Усачева В.О., Школяр Л.В.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Музыка.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Издательский центр ВЕНТАНА-ГРАФ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381125"/>
                  <wp:effectExtent l="0" t="0" r="9525" b="9525"/>
                  <wp:docPr id="63" name="Рисунок 63" descr="Технология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Технология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6" w:tooltip="Технология — аннотация к рабочим программам УМК 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Технология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Лутцева</w:t>
            </w:r>
            <w:proofErr w:type="spellEnd"/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Е.А., Зуева Т.П.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Технология.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 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33450" cy="1333500"/>
                  <wp:effectExtent l="0" t="0" r="0" b="0"/>
                  <wp:docPr id="62" name="Рисунок 62" descr="Физ-ра 1-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Физ-ра 1-4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29" w:tooltip="Физическая культура — аннотация к рабочим программам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bdr w:val="none" w:sz="0" w:space="0" w:color="auto" w:frame="1"/>
                  <w:lang w:eastAsia="ru-RU"/>
                </w:rPr>
                <w:t>Физическая культура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Лях В.И. 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культура. 1-4 класс. Учебник.</w:t>
            </w: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Издательство: Просвещение</w:t>
            </w:r>
          </w:p>
        </w:tc>
      </w:tr>
      <w:tr w:rsidR="00AD5475" w:rsidRPr="00AD5475" w:rsidTr="00F40D41">
        <w:trPr>
          <w:tblCellSpacing w:w="15" w:type="dxa"/>
        </w:trPr>
        <w:tc>
          <w:tcPr>
            <w:tcW w:w="2116" w:type="dxa"/>
            <w:hideMark/>
          </w:tcPr>
          <w:p w:rsidR="00AD5475" w:rsidRPr="00AD5475" w:rsidRDefault="00AD5475" w:rsidP="00AD547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11598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962025"/>
                  <wp:effectExtent l="0" t="0" r="9525" b="9525"/>
                  <wp:docPr id="61" name="Рисунок 61" descr="http://school683.ru/wp-content/uploads/2015/01/orksye_242_thumbnail-2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chool683.ru/wp-content/uploads/2015/01/orksye_242_thumbnail-2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D5475" w:rsidRPr="00AD5475" w:rsidRDefault="00651720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32" w:tooltip="ОРКСЭ — аннотация к рабочим программам" w:history="1">
              <w:r w:rsidR="00AD5475" w:rsidRPr="00AD5475">
                <w:rPr>
                  <w:rFonts w:ascii="inherit" w:eastAsia="Times New Roman" w:hAnsi="inherit" w:cs="Times New Roman"/>
                  <w:b/>
                  <w:bCs/>
                  <w:color w:val="11598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ОРКСЭ — аннотация к рабочим программам</w:t>
              </w:r>
            </w:hyperlink>
          </w:p>
          <w:p w:rsidR="00AD5475" w:rsidRPr="00AD5475" w:rsidRDefault="00AD5475" w:rsidP="00AD547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D54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Основы религиозных культур и светской этики</w:t>
            </w:r>
          </w:p>
        </w:tc>
      </w:tr>
    </w:tbl>
    <w:p w:rsidR="007E413A" w:rsidRPr="00AD5475" w:rsidRDefault="007E413A" w:rsidP="00AD5475">
      <w:bookmarkStart w:id="0" w:name="_GoBack"/>
      <w:bookmarkEnd w:id="0"/>
    </w:p>
    <w:sectPr w:rsidR="007E413A" w:rsidRPr="00AD5475" w:rsidSect="0065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75"/>
    <w:rsid w:val="0016318C"/>
    <w:rsid w:val="00651720"/>
    <w:rsid w:val="007E413A"/>
    <w:rsid w:val="00AD5475"/>
    <w:rsid w:val="00F4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20"/>
  </w:style>
  <w:style w:type="paragraph" w:styleId="1">
    <w:name w:val="heading 1"/>
    <w:basedOn w:val="a"/>
    <w:link w:val="10"/>
    <w:uiPriority w:val="9"/>
    <w:qFormat/>
    <w:rsid w:val="00AD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5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5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D5475"/>
    <w:rPr>
      <w:b/>
      <w:bCs/>
    </w:rPr>
  </w:style>
  <w:style w:type="character" w:styleId="a4">
    <w:name w:val="Hyperlink"/>
    <w:basedOn w:val="a0"/>
    <w:uiPriority w:val="99"/>
    <w:semiHidden/>
    <w:unhideWhenUsed/>
    <w:rsid w:val="00AD54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5475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5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5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D5475"/>
    <w:rPr>
      <w:b/>
      <w:bCs/>
    </w:rPr>
  </w:style>
  <w:style w:type="character" w:styleId="a4">
    <w:name w:val="Hyperlink"/>
    <w:basedOn w:val="a0"/>
    <w:uiPriority w:val="99"/>
    <w:semiHidden/>
    <w:unhideWhenUsed/>
    <w:rsid w:val="00AD54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5475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school683.ru/wp-content/uploads/2015/01/IZO.jpg" TargetMode="External"/><Relationship Id="rId26" Type="http://schemas.openxmlformats.org/officeDocument/2006/relationships/hyperlink" Target="http://school683.ru/tekhnologiya-annotaciya-k-rabochim-pro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683.ru/wp-content/uploads/2015/01/Muzyka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683.ru/wp-content/uploads/2015/01/Liter.-chtenie.jpg" TargetMode="External"/><Relationship Id="rId12" Type="http://schemas.openxmlformats.org/officeDocument/2006/relationships/hyperlink" Target="http://school683.ru/wp-content/uploads/2015/01/Matematika.jpg" TargetMode="External"/><Relationship Id="rId17" Type="http://schemas.openxmlformats.org/officeDocument/2006/relationships/hyperlink" Target="http://school683.ru/okruzhayushhiy-mir-annotaciya-k-rabochim/" TargetMode="External"/><Relationship Id="rId25" Type="http://schemas.openxmlformats.org/officeDocument/2006/relationships/image" Target="media/image8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school683.ru/izobrazitelnoe-iskusstvo-annotac-2/" TargetMode="External"/><Relationship Id="rId29" Type="http://schemas.openxmlformats.org/officeDocument/2006/relationships/hyperlink" Target="http://school683.ru/fizicheskaya-kultura-annotaciya-k-rabo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683.ru/russkiy-yazyk-annotaciya-k-rabochim-pr-2/" TargetMode="External"/><Relationship Id="rId11" Type="http://schemas.openxmlformats.org/officeDocument/2006/relationships/hyperlink" Target="http://school683.ru/angliyskiy-yazyk-annotaciya-k-rabochim-p/" TargetMode="External"/><Relationship Id="rId24" Type="http://schemas.openxmlformats.org/officeDocument/2006/relationships/hyperlink" Target="http://school683.ru/wp-content/uploads/2015/01/Tekhnologiya.jpg" TargetMode="External"/><Relationship Id="rId32" Type="http://schemas.openxmlformats.org/officeDocument/2006/relationships/hyperlink" Target="http://school683.ru/orksye-annotaciya-k-rabochim-programma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683.ru/wp-content/uploads/2015/01/Okr.-mir.jpg" TargetMode="External"/><Relationship Id="rId23" Type="http://schemas.openxmlformats.org/officeDocument/2006/relationships/hyperlink" Target="http://school683.ru/muzyka-annotaciya-k-rabochim-programma/" TargetMode="External"/><Relationship Id="rId28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hyperlink" Target="http://school683.ru/wp-content/uploads/2015/01/Russkiy-yazyk.jpg" TargetMode="External"/><Relationship Id="rId9" Type="http://schemas.openxmlformats.org/officeDocument/2006/relationships/hyperlink" Target="http://school683.ru/literaturnoe-chtenie-annotaciya-k-rab/" TargetMode="External"/><Relationship Id="rId14" Type="http://schemas.openxmlformats.org/officeDocument/2006/relationships/hyperlink" Target="http://school683.ru/matematika-annotaciya-k-rabochim-prog/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school683.ru/wp-content/uploads/2015/01/Fiz-ra-1-4.png" TargetMode="External"/><Relationship Id="rId30" Type="http://schemas.openxmlformats.org/officeDocument/2006/relationships/hyperlink" Target="http://school683.ru/wp-content/uploads/2015/01/orksye_242_thumbnail-2.jpg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Барияят</dc:creator>
  <cp:lastModifiedBy>Гость</cp:lastModifiedBy>
  <cp:revision>3</cp:revision>
  <dcterms:created xsi:type="dcterms:W3CDTF">2018-04-13T17:33:00Z</dcterms:created>
  <dcterms:modified xsi:type="dcterms:W3CDTF">2018-04-14T09:31:00Z</dcterms:modified>
</cp:coreProperties>
</file>